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  <w:br/>
        <w:t>в 2023 году (за отчетный 2022 год)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</w:t>
        <w:br/>
        <w:t xml:space="preserve">о доходах, расходах, об имуществе и обязательствах имущественного характера </w:t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</w:t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  <w:br/>
        <w:t>и иных заинтересованных федеральных государственных органов.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  <w:br/>
        <w:t>и Херсонской области, а также отдельными категориями лиц в связи с проведением специальной военной операции.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  <w:br/>
        <w:t>в представлении сведений.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20 Методических рекомендаций подчеркнуто, </w:t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  <w:br/>
        <w:t>к сведениям могут быть приложены применимые пояснения (пункт 37 Методических рекомендаций).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53 Методических рекомендаций обращено внимание </w:t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Учитывая возникающие на практике вопросы повторно отмечаем, </w:t>
        <w:br/>
        <w:t>что доход от операций с ценными бумагами выражается в величине суммы финансового результата.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156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пункте 181 Методических рекомендаций акцентировано внимание </w:t>
        <w:br/>
        <w:t>на особенностях владения инвестиционными паями паевых инвестиционных фондов.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Положения Методических рекомендаций в целом актуализированы </w:t>
        <w:br/>
        <w:t>с учетом изменений нормативных правовых актов Российской Федерации.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b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0be2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LibreOffice/7.3.3.2$Windows_X86_64 LibreOffice_project/d1d0ea68f081ee2800a922cac8f79445e4603348</Application>
  <AppVersion>15.0000</AppVersion>
  <Pages>2</Pages>
  <Words>395</Words>
  <Characters>2993</Characters>
  <CharactersWithSpaces>3374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2022-12-30T13:09:00Z</dcterms:created>
  <dc:creator>123</dc:creator>
  <dc:description/>
  <dc:language>ru-RU</dc:language>
  <cp:lastModifiedBy>123</cp:lastModifiedBy>
  <dcterms:modified xsi:type="dcterms:W3CDTF">2022-12-30T13:09:00Z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