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hyperlink r:id="rId2">
        <w:r>
          <w:rPr>
            <w:rStyle w:val="ListLabel1"/>
            <w:rFonts w:ascii="Tahoma" w:hAnsi="Tahoma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ПРАВИТЕЛЬСТВО РОССИЙСКОЙ ФЕДЕРАЦИИ</w:t>
      </w:r>
    </w:p>
    <w:p>
      <w:pPr>
        <w:pStyle w:val="ConsPlusNormal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16"/>
          <w:u w:val="none"/>
        </w:rPr>
      </w:pPr>
      <w:r>
        <w:rPr>
          <w:b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0" w:name="__DdeLink__1521_3542171073"/>
      <w:r>
        <w:rPr>
          <w:b/>
          <w:i w:val="false"/>
          <w:strike w:val="false"/>
          <w:dstrike w:val="false"/>
          <w:sz w:val="16"/>
          <w:u w:val="none"/>
        </w:rPr>
        <w:t>ПОСТАНОВЛЕНИЕ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1" w:name="__DdeLink__1521_3542171073"/>
      <w:r>
        <w:rPr>
          <w:b/>
          <w:i w:val="false"/>
          <w:strike w:val="false"/>
          <w:dstrike w:val="false"/>
          <w:sz w:val="16"/>
          <w:u w:val="none"/>
        </w:rPr>
        <w:t>от 29 июня 2018 г. N 748</w:t>
      </w:r>
      <w:bookmarkEnd w:id="1"/>
    </w:p>
    <w:p>
      <w:pPr>
        <w:pStyle w:val="ConsPlusNormal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16"/>
          <w:u w:val="none"/>
        </w:rPr>
      </w:pPr>
      <w:r>
        <w:rPr>
          <w:b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 ТРЕБОВАНИЯХ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К БАНКАМ (ВКЛЮЧАЯ ТРЕБОВАНИЯ К ИХ ФИНАНСОВОЙ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УСТОЙЧИВОСТИ), В КОТОРЫХ УЧАСТНИКАМИ ЗАКУПОК ОТКРЫВАЮТСЯ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СПЕЦИАЛЬНЫЕ СЧЕТА, НА КОТОРЫЕ ВНОСЯТСЯ ДЕНЕЖНЫЕ СРЕДСТВА,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ПРЕДНАЗНАЧЕННЫЕ ДЛЯ ОБЕСПЕЧЕНИЯ ЗАЯВОК НА УЧАСТИЕ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В ЗАКУПКАХ ТОВАРОВ, РАБОТ, УСЛУГ, И ПРИЗНАНИИ УТРАТИВШИМИ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СИЛУ НЕКОТОРЫХ АКТОВ ПРАВИТЕЛЬСТВА РОССИЙСКОЙ ФЕДЕРАЦИИ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3">
              <w:r>
                <w:rPr>
                  <w:rStyle w:val="ListLabel2"/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30.12.2018 </w:t>
            </w:r>
            <w:hyperlink r:id="rId4">
              <w:r>
                <w:rPr>
                  <w:rStyle w:val="ListLabel2"/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13.02.2019 </w:t>
            </w:r>
            <w:hyperlink r:id="rId5">
              <w:r>
                <w:rPr>
                  <w:rStyle w:val="ListLabel2"/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На основании </w:t>
      </w:r>
      <w:hyperlink r:id="rId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части 10 статьи 44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и </w:t>
      </w:r>
      <w:hyperlink r:id="rId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части 5 статьи 84.1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</w:t>
      </w:r>
      <w:hyperlink r:id="rId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части 14 статьи 3.4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 Утвердить прилагаемые </w:t>
      </w:r>
      <w:hyperlink w:anchor="Par4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требования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информацию о банках, соответствующих </w:t>
      </w:r>
      <w:hyperlink w:anchor="Par5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пунктам 1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- </w:t>
      </w:r>
      <w:hyperlink w:anchor="Par5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требований, утвержденных настоящим постановлением.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2" w:name="Par20"/>
      <w:bookmarkEnd w:id="2"/>
      <w:r>
        <w:rPr>
          <w:b w:val="false"/>
          <w:i w:val="false"/>
          <w:strike w:val="false"/>
          <w:dstrike w:val="false"/>
          <w:sz w:val="16"/>
          <w:u w:val="none"/>
        </w:rPr>
        <w:t xml:space="preserve">2(1). Установить, что </w:t>
      </w:r>
      <w:hyperlink w:anchor="Par6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 6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требований, утвержденных настоящим постановлением, применяется к банку через 60 дней со дня, следующего за днем его включения в перечень, предусмотренный </w:t>
      </w:r>
      <w:hyperlink r:id="rId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частью 10 статьи 44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2(1) введен </w:t>
      </w:r>
      <w:hyperlink r:id="rId1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13.02.2019 N 141)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 Признать утратившими силу: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1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 (Собрание законодательства Российской Федерации, 2014, N 44, ст. 6071);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1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 7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2017 г. N 1683 "О внесении изменений в некоторые акты Правительства Российской Федерации" (Собрание законодательства Российской Федерации, 2018, N 2, ст. 428).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4. Настоящее постановление вступает в силу с 1 июля 2018 г., за исключением </w:t>
      </w:r>
      <w:hyperlink w:anchor="Par6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пункта 6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требований, утвержденных настоящим постановлением, вступающего в силу с 1 сентября 2018 г.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Председатель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Д.МЕДВЕДЕВ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Утверждены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постановлением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от 29 июня 2018 г. N 748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3" w:name="Par40"/>
      <w:bookmarkEnd w:id="3"/>
      <w:r>
        <w:rPr>
          <w:b/>
          <w:i w:val="false"/>
          <w:strike w:val="false"/>
          <w:dstrike w:val="false"/>
          <w:sz w:val="16"/>
          <w:u w:val="none"/>
        </w:rPr>
        <w:t>ТРЕБОВАНИЯ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К БАНКАМ (ВКЛЮЧАЯ ТРЕБОВАНИЯ К ИХ ФИНАНСОВОЙ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УСТОЙЧИВОСТИ), В КОТОРЫХ УЧАСТНИКАМИ ЗАКУПОК ОТКРЫВАЮТСЯ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СПЕЦИАЛЬНЫЕ СЧЕТА, НА КОТОРЫЕ ВНОСЯТСЯ ДЕНЕЖНЫЕ СРЕДСТВА,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ПРЕДНАЗНАЧЕННЫЕ ДЛЯ ОБЕСПЕЧЕНИЯ ЗАЯВОК НА УЧАСТИЕ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В ЗАКУПКАХ ТОВАРОВ, РАБОТ, УСЛУГ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13">
              <w:r>
                <w:rPr>
                  <w:rStyle w:val="ListLabel2"/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30.12.2018 </w:t>
            </w:r>
            <w:hyperlink r:id="rId14">
              <w:r>
                <w:rPr>
                  <w:rStyle w:val="ListLabel2"/>
                  <w:color w:val="0000FF"/>
                </w:rPr>
                <w:t>N 1758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bookmarkStart w:id="4" w:name="Par50"/>
      <w:bookmarkEnd w:id="4"/>
      <w:r>
        <w:rPr>
          <w:b w:val="false"/>
          <w:i w:val="false"/>
          <w:strike w:val="false"/>
          <w:dstrike w:val="false"/>
          <w:sz w:val="16"/>
          <w:u w:val="none"/>
        </w:rPr>
        <w:t>1. Кредитная организация является банком с универсальной лицензией.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 Наличие у кредитной организации собственных средств (капитала) в размере не менее размера, установленного в соответствии с </w:t>
      </w:r>
      <w:hyperlink r:id="rId1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Правилами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bookmarkStart w:id="5" w:name="Par52"/>
      <w:bookmarkEnd w:id="5"/>
      <w:r>
        <w:rPr>
          <w:b w:val="false"/>
          <w:i w:val="false"/>
          <w:strike w:val="false"/>
          <w:dstrike w:val="false"/>
          <w:sz w:val="16"/>
          <w:u w:val="none"/>
        </w:rPr>
        <w:t>3. Соответствие банка одному из следующих требований: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наличие кредитного рейтинга не ниже уровня, установленного в соответствии с </w:t>
      </w:r>
      <w:hyperlink r:id="rId1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Правилами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6" w:name="Par55"/>
      <w:bookmarkEnd w:id="6"/>
      <w:r>
        <w:rPr>
          <w:b w:val="false"/>
          <w:i w:val="false"/>
          <w:strike w:val="false"/>
          <w:dstrike w:val="false"/>
          <w:sz w:val="16"/>
          <w:u w:val="none"/>
        </w:rPr>
        <w:t xml:space="preserve">4.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законом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 страховании вкладов в банках Российской Федерации".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4 в ред. </w:t>
      </w:r>
      <w:hyperlink r:id="rId1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30.12.2018 N 1758)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5. Отсутствие у кредитной организации просроченной задолженности по банковским депозитам, ранее размещенным в ней за счет средств федерального бюджета.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 xml:space="preserve">П. 6 </w:t>
            </w:r>
            <w:hyperlink w:anchor="Par20">
              <w:r>
                <w:rPr>
                  <w:rStyle w:val="ListLabel2"/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банку через 60 дней со дня, следующего за днем его включения в перечень, предусмотренный </w:t>
            </w:r>
            <w:hyperlink r:id="rId19">
              <w:r>
                <w:rPr>
                  <w:rStyle w:val="ListLabel2"/>
                  <w:color w:val="0000FF"/>
                </w:rPr>
                <w:t>ч. 10 ст. 44</w:t>
              </w:r>
            </w:hyperlink>
            <w:r>
              <w:rPr>
                <w:color w:val="392C69"/>
              </w:rPr>
              <w:t xml:space="preserve"> ФЗ от 05.04.2013 N 44-ФЗ.</w:t>
            </w:r>
          </w:p>
        </w:tc>
      </w:tr>
    </w:tbl>
    <w:p>
      <w:pPr>
        <w:pStyle w:val="ConsPlusNormal"/>
        <w:spacing w:before="200" w:after="0"/>
        <w:ind w:left="0" w:firstLine="540"/>
        <w:jc w:val="both"/>
        <w:rPr/>
      </w:pPr>
      <w:bookmarkStart w:id="7" w:name="Par60"/>
      <w:bookmarkEnd w:id="7"/>
      <w:r>
        <w:rPr>
          <w:b w:val="false"/>
          <w:i w:val="false"/>
          <w:strike w:val="false"/>
          <w:dstrike w:val="false"/>
          <w:sz w:val="16"/>
          <w:u w:val="none"/>
        </w:rPr>
        <w:t xml:space="preserve">6. Наличие в соответствии с </w:t>
      </w:r>
      <w:hyperlink r:id="rId2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частью 13 статьи 44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соглашений о взаимодействии с каждым из операторов электронных площадок, включенных в перечень, предусмотренный </w:t>
      </w:r>
      <w:hyperlink r:id="rId2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частью 3 статьи 24.1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указанного Федерального закона.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7. Денежные средства, предназначенные для обеспечения заявок на участие в закупках товаров, работ, услуг, могут размещаться на специальных счетах в банках, соответствующих настоящим требованиям, за исключением требований, установленных </w:t>
      </w:r>
      <w:hyperlink w:anchor="Par5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пунктом 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настоящих требований, если в отношении банков или в отношении лиц, под контролем либо значительным влиянием которых находятся банки, по состоянию на 1 января 2015 г. действуют международные санкции и банки определены отдельным </w:t>
      </w:r>
      <w:hyperlink r:id="rId2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решением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Российской Федерации.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7 введен </w:t>
      </w:r>
      <w:hyperlink r:id="rId2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03.11.2018 N 1320)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b w:val="false"/>
      <w:i w:val="false"/>
      <w:strike w:val="false"/>
      <w:dstrike w:val="false"/>
      <w:color w:val="0000FF"/>
      <w:sz w:val="20"/>
      <w:u w:val="non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character" w:styleId="ListLabel3">
    <w:name w:val="ListLabel 3"/>
    <w:qFormat/>
    <w:rPr>
      <w:rFonts w:ascii="Arial" w:hAnsi="Arial"/>
      <w:b w:val="false"/>
      <w:i w:val="false"/>
      <w:strike w:val="false"/>
      <w:dstrike w:val="false"/>
      <w:color w:val="0000FF"/>
      <w:sz w:val="1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E3DE1C8D8C802A833C375DC8C017ADC9A5693E5C3F7D6849FF41619E39ED7D24EE2088A2805AC8DA1926F0F6CFB83F75F83AFBF6E7D95C44x77DF" TargetMode="External"/><Relationship Id="rId4" Type="http://schemas.openxmlformats.org/officeDocument/2006/relationships/hyperlink" Target="consultantplus://offline/ref=E3DE1C8D8C802A833C375DC8C017ADC9A56C3F5E387C6849FF41619E39ED7D24EE2088A2805AC8DE1426F0F6CFB83F75F83AFBF6E7D95C44x77DF" TargetMode="External"/><Relationship Id="rId5" Type="http://schemas.openxmlformats.org/officeDocument/2006/relationships/hyperlink" Target="consultantplus://offline/ref=E3DE1C8D8C802A833C375DC8C017ADC9A5693659327C6849FF41619E39ED7D24EE2088A2805AC8D91826F0F6CFB83F75F83AFBF6E7D95C44x77DF" TargetMode="External"/><Relationship Id="rId6" Type="http://schemas.openxmlformats.org/officeDocument/2006/relationships/hyperlink" Target="consultantplus://offline/ref=E3DE1C8D8C802A833C375DC8C017ADC9A56C3C5B337C6849FF41619E39ED7D24EE2088A7865DC38E4D69F1AA8AED2C74FA3AF9F4FBxD7BF" TargetMode="External"/><Relationship Id="rId7" Type="http://schemas.openxmlformats.org/officeDocument/2006/relationships/hyperlink" Target="consultantplus://offline/ref=E3DE1C8D8C802A833C375DC8C017ADC9A56C3C5B337C6849FF41619E39ED7D24EE2088AA885BC38E4D69F1AA8AED2C74FA3AF9F4FBxD7BF" TargetMode="External"/><Relationship Id="rId8" Type="http://schemas.openxmlformats.org/officeDocument/2006/relationships/hyperlink" Target="consultantplus://offline/ref=E3DE1C8D8C802A833C375DC8C017ADC9A56B3E5F33796849FF41619E39ED7D24EE2088A08553C38E4D69F1AA8AED2C74FA3AF9F4FBxD7BF" TargetMode="External"/><Relationship Id="rId9" Type="http://schemas.openxmlformats.org/officeDocument/2006/relationships/hyperlink" Target="consultantplus://offline/ref=E3DE1C8D8C802A833C375DC8C017ADC9A56C3C5B337C6849FF41619E39ED7D24EE2088A7865DC38E4D69F1AA8AED2C74FA3AF9F4FBxD7BF" TargetMode="External"/><Relationship Id="rId10" Type="http://schemas.openxmlformats.org/officeDocument/2006/relationships/hyperlink" Target="consultantplus://offline/ref=E3DE1C8D8C802A833C375DC8C017ADC9A5693659327C6849FF41619E39ED7D24EE2088A2805AC8D91826F0F6CFB83F75F83AFBF6E7D95C44x77DF" TargetMode="External"/><Relationship Id="rId11" Type="http://schemas.openxmlformats.org/officeDocument/2006/relationships/hyperlink" Target="consultantplus://offline/ref=E3DE1C8D8C802A833C375DC8C017ADC9A460395A3A7A6849FF41619E39ED7D24FC20D0AE815AD6DA1E33A6A789xE7DF" TargetMode="External"/><Relationship Id="rId12" Type="http://schemas.openxmlformats.org/officeDocument/2006/relationships/hyperlink" Target="consultantplus://offline/ref=E3DE1C8D8C802A833C375DC8C017ADC9A46039593A756849FF41619E39ED7D24EE2088A2805AC8DC1B26F0F6CFB83F75F83AFBF6E7D95C44x77DF" TargetMode="External"/><Relationship Id="rId13" Type="http://schemas.openxmlformats.org/officeDocument/2006/relationships/hyperlink" Target="consultantplus://offline/ref=E3DE1C8D8C802A833C375DC8C017ADC9A5693E5C3F7D6849FF41619E39ED7D24EE2088A2805AC8DA1926F0F6CFB83F75F83AFBF6E7D95C44x77DF" TargetMode="External"/><Relationship Id="rId14" Type="http://schemas.openxmlformats.org/officeDocument/2006/relationships/hyperlink" Target="consultantplus://offline/ref=E3DE1C8D8C802A833C375DC8C017ADC9A56C3F5E387C6849FF41619E39ED7D24EE2088A2805AC8DE1426F0F6CFB83F75F83AFBF6E7D95C44x77DF" TargetMode="External"/><Relationship Id="rId15" Type="http://schemas.openxmlformats.org/officeDocument/2006/relationships/hyperlink" Target="consultantplus://offline/ref=E3DE1C8D8C802A833C375DC8C017ADC9A5693B59327B6849FF41619E39ED7D24EE2088A2805AC8D81D26F0F6CFB83F75F83AFBF6E7D95C44x77DF" TargetMode="External"/><Relationship Id="rId16" Type="http://schemas.openxmlformats.org/officeDocument/2006/relationships/hyperlink" Target="consultantplus://offline/ref=E3DE1C8D8C802A833C375DC8C017ADC9A5693B59327B6849FF41619E39ED7D24EE2088A2805AC8D81D26F0F6CFB83F75F83AFBF6E7D95C44x77DF" TargetMode="External"/><Relationship Id="rId17" Type="http://schemas.openxmlformats.org/officeDocument/2006/relationships/hyperlink" Target="consultantplus://offline/ref=E3DE1C8D8C802A833C375DC8C017ADC9A56C3F50327E6849FF41619E39ED7D24FC20D0AE815AD6DA1E33A6A789xE7DF" TargetMode="External"/><Relationship Id="rId18" Type="http://schemas.openxmlformats.org/officeDocument/2006/relationships/hyperlink" Target="consultantplus://offline/ref=E3DE1C8D8C802A833C375DC8C017ADC9A56C3F5E387C6849FF41619E39ED7D24EE2088A2805AC8DE1426F0F6CFB83F75F83AFBF6E7D95C44x77DF" TargetMode="External"/><Relationship Id="rId19" Type="http://schemas.openxmlformats.org/officeDocument/2006/relationships/hyperlink" Target="consultantplus://offline/ref=E3DE1C8D8C802A833C375DC8C017ADC9A56C3C5B337C6849FF41619E39ED7D24EE2088A7865DC38E4D69F1AA8AED2C74FA3AF9F4FBxD7BF" TargetMode="External"/><Relationship Id="rId20" Type="http://schemas.openxmlformats.org/officeDocument/2006/relationships/hyperlink" Target="consultantplus://offline/ref=E3DE1C8D8C802A833C375DC8C017ADC9A56C3C5B337C6849FF41619E39ED7D24EE2088A7875EC38E4D69F1AA8AED2C74FA3AF9F4FBxD7BF" TargetMode="External"/><Relationship Id="rId21" Type="http://schemas.openxmlformats.org/officeDocument/2006/relationships/hyperlink" Target="consultantplus://offline/ref=E3DE1C8D8C802A833C375DC8C017ADC9A56C3C5B337C6849FF41619E39ED7D24EE2088A7805AC38E4D69F1AA8AED2C74FA3AF9F4FBxD7BF" TargetMode="External"/><Relationship Id="rId22" Type="http://schemas.openxmlformats.org/officeDocument/2006/relationships/hyperlink" Target="consultantplus://offline/ref=E3DE1C8D8C802A833C375DC8C017ADC9A569365A3A7C6849FF41619E39ED7D24EE2088A2805AC8DA1F26F0F6CFB83F75F83AFBF6E7D95C44x77DF" TargetMode="External"/><Relationship Id="rId23" Type="http://schemas.openxmlformats.org/officeDocument/2006/relationships/hyperlink" Target="consultantplus://offline/ref=E3DE1C8D8C802A833C375DC8C017ADC9A5693E5C3F7D6849FF41619E39ED7D24EE2088A2805AC8DA1926F0F6CFB83F75F83AFBF6E7D95C44x77DF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3</Pages>
  <Words>800</Words>
  <Characters>5345</Characters>
  <CharactersWithSpaces>6094</CharactersWithSpaces>
  <Paragraphs>52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2020-02-10T08:59:00Z</dcterms:created>
  <dc:creator/>
  <dc:description/>
  <dc:language>ru-RU</dc:language>
  <cp:lastModifiedBy/>
  <cp:revision>0</cp:revision>
  <dc:subject/>
  <dc:title>Постановление Правительства РФ от 29.06.2018 N 748(ред. от 13.02.2019)"О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4019.00.20</vt:lpwstr>
  </property>
</Properties>
</file>