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8.gif" ContentType="image/gif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9525">
            <wp:extent cx="3705225" cy="685800"/>
            <wp:effectExtent l="0" t="0" r="0" b="0"/>
            <wp:docPr id="1" name="Рисунок 1" descr="SmallGrid_MCFR-Ka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SmallGrid_MCFR-Kadry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0" w:leader="none"/>
        </w:tabs>
        <w:spacing w:lineRule="auto" w:line="240" w:before="0" w:after="0"/>
        <w:jc w:val="both"/>
        <w:rPr>
          <w:rFonts w:ascii="Arial" w:hAnsi="Arial" w:cs="Arial"/>
          <w:color w:val="C00000"/>
          <w:sz w:val="50"/>
          <w:szCs w:val="5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 wp14:anchorId="355F28F3">
                <wp:simplePos x="0" y="0"/>
                <wp:positionH relativeFrom="column">
                  <wp:posOffset>2449830</wp:posOffset>
                </wp:positionH>
                <wp:positionV relativeFrom="paragraph">
                  <wp:posOffset>41275</wp:posOffset>
                </wp:positionV>
                <wp:extent cx="4115435" cy="1038225"/>
                <wp:effectExtent l="0" t="0" r="0" b="0"/>
                <wp:wrapNone/>
                <wp:docPr id="2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03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lineRule="auto" w:line="240" w:before="0" w:after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40"/>
                                <w:szCs w:val="40"/>
                              </w:rPr>
                              <w:t xml:space="preserve">Подпишитесь на журнал </w:t>
                            </w:r>
                          </w:p>
                          <w:p>
                            <w:pPr>
                              <w:pStyle w:val="Style26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C00000"/>
                                <w:sz w:val="40"/>
                                <w:szCs w:val="40"/>
                              </w:rPr>
                              <w:t xml:space="preserve">до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29 февраля</w:t>
                            </w:r>
                            <w:r>
                              <w:rPr>
                                <w:rFonts w:cs="Arial"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color w:val="C00000"/>
                                <w:sz w:val="40"/>
                                <w:szCs w:val="40"/>
                              </w:rPr>
                              <w:t xml:space="preserve">2016 </w:t>
                            </w:r>
                            <w:r>
                              <w:rPr>
                                <w:rFonts w:cs="Arial" w:ascii="Arial" w:hAnsi="Arial"/>
                                <w:sz w:val="40"/>
                                <w:szCs w:val="40"/>
                              </w:rPr>
                              <w:t xml:space="preserve"> по акции!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7" stroked="f" style="position:absolute;margin-left:192.9pt;margin-top:3.25pt;width:323.95pt;height:81.65pt" wp14:anchorId="355F28F3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6"/>
                        <w:spacing w:lineRule="auto" w:line="240" w:before="0" w:after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 w:ascii="Arial" w:hAnsi="Arial"/>
                          <w:sz w:val="40"/>
                          <w:szCs w:val="40"/>
                        </w:rPr>
                        <w:t xml:space="preserve">Подпишитесь на журнал </w:t>
                      </w:r>
                    </w:p>
                    <w:p>
                      <w:pPr>
                        <w:pStyle w:val="Style26"/>
                        <w:spacing w:lineRule="auto" w:line="240" w:before="0" w:after="0"/>
                        <w:rPr/>
                      </w:pPr>
                      <w:r>
                        <w:rPr>
                          <w:rFonts w:cs="Arial" w:ascii="Arial" w:hAnsi="Arial"/>
                          <w:color w:val="C00000"/>
                          <w:sz w:val="40"/>
                          <w:szCs w:val="40"/>
                        </w:rPr>
                        <w:t xml:space="preserve">до </w:t>
                      </w:r>
                      <w:r>
                        <w:rPr>
                          <w:rFonts w:cs="Arial" w:ascii="Arial" w:hAnsi="Arial"/>
                          <w:b/>
                          <w:color w:val="C00000"/>
                          <w:sz w:val="44"/>
                          <w:szCs w:val="44"/>
                        </w:rPr>
                        <w:t>29 февраля</w:t>
                      </w:r>
                      <w:r>
                        <w:rPr>
                          <w:rFonts w:cs="Arial" w:ascii="Arial" w:hAnsi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color w:val="C00000"/>
                          <w:sz w:val="40"/>
                          <w:szCs w:val="40"/>
                        </w:rPr>
                        <w:t xml:space="preserve">2016 </w:t>
                      </w:r>
                      <w:r>
                        <w:rPr>
                          <w:rFonts w:cs="Arial" w:ascii="Arial" w:hAnsi="Arial"/>
                          <w:sz w:val="40"/>
                          <w:szCs w:val="40"/>
                        </w:rPr>
                        <w:t xml:space="preserve"> по акции!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color w:val="C00000"/>
          <w:sz w:val="50"/>
          <w:szCs w:val="50"/>
        </w:rPr>
        <w:t xml:space="preserve">    </w:t>
      </w:r>
      <w:r>
        <w:rPr>
          <w:rFonts w:cs="Arial" w:ascii="Arial" w:hAnsi="Arial"/>
          <w:color w:val="C00000"/>
          <w:sz w:val="50"/>
          <w:szCs w:val="50"/>
        </w:rPr>
        <w:t xml:space="preserve">СКИДКА 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b/>
          <w:b/>
          <w:color w:val="C00000"/>
          <w:sz w:val="112"/>
          <w:szCs w:val="112"/>
        </w:rPr>
      </w:pPr>
      <w:r>
        <w:rPr>
          <w:rFonts w:cs="Arial" w:ascii="Arial" w:hAnsi="Arial"/>
          <w:b/>
          <w:color w:val="C00000"/>
          <w:sz w:val="120"/>
          <w:szCs w:val="120"/>
        </w:rPr>
        <w:t xml:space="preserve"> </w:t>
      </w:r>
      <w:r>
        <w:rPr>
          <w:rFonts w:cs="Arial" w:ascii="Arial" w:hAnsi="Arial"/>
          <w:b/>
          <w:color w:val="C00000"/>
          <w:sz w:val="120"/>
          <w:szCs w:val="120"/>
        </w:rPr>
        <w:t>-10</w:t>
      </w:r>
      <w:r>
        <w:rPr>
          <w:rFonts w:cs="Arial" w:ascii="Arial" w:hAnsi="Arial"/>
          <w:b/>
          <w:color w:val="C00000"/>
          <w:sz w:val="72"/>
          <w:szCs w:val="72"/>
        </w:rPr>
        <w:t>%</w:t>
      </w:r>
      <w:r>
        <w:rPr>
          <w:rFonts w:cs="Arial" w:ascii="Arial" w:hAnsi="Arial"/>
          <w:b/>
          <w:color w:val="C00000"/>
          <w:sz w:val="112"/>
          <w:szCs w:val="112"/>
        </w:rPr>
        <w:t xml:space="preserve"> </w:t>
      </w:r>
    </w:p>
    <w:p>
      <w:pPr>
        <w:pStyle w:val="Normal"/>
        <w:rPr/>
      </w:pPr>
      <w:r>
        <w:rPr/>
      </w:r>
    </w:p>
    <w:tbl>
      <w:tblPr>
        <w:tblStyle w:val="a3"/>
        <w:tblW w:w="1102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84"/>
        <w:gridCol w:w="4607"/>
        <w:gridCol w:w="2832"/>
      </w:tblGrid>
      <w:tr>
        <w:trPr>
          <w:trHeight w:val="277" w:hRule="atLeast"/>
        </w:trPr>
        <w:tc>
          <w:tcPr>
            <w:tcW w:w="11023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cs="Tahoma"/>
                <w:b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cs="Tahoma" w:ascii="Tahoma" w:hAnsi="Tahoma"/>
                <w:b/>
                <w:bCs/>
                <w:color w:val="17365D" w:themeColor="text2" w:themeShade="bf"/>
                <w:sz w:val="24"/>
                <w:szCs w:val="24"/>
              </w:rPr>
              <w:t>Стоимость подписки на печатную и электронную версию журнала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cs="Tahoma" w:ascii="Tahoma" w:hAnsi="Tahoma"/>
                <w:b/>
                <w:bCs/>
                <w:color w:val="17365D" w:themeColor="text2" w:themeShade="bf"/>
                <w:sz w:val="24"/>
                <w:szCs w:val="24"/>
              </w:rPr>
              <w:t xml:space="preserve">по акции на 2016 год  </w:t>
            </w:r>
            <w:r>
              <w:rPr>
                <w:rFonts w:cs="Tahoma" w:ascii="Tahoma" w:hAnsi="Tahoma"/>
                <w:sz w:val="24"/>
                <w:szCs w:val="24"/>
              </w:rPr>
              <w:t xml:space="preserve">действует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</w:r>
          </w:p>
        </w:tc>
      </w:tr>
      <w:tr>
        <w:trPr>
          <w:trHeight w:val="2238" w:hRule="atLeast"/>
        </w:trPr>
        <w:tc>
          <w:tcPr>
            <w:tcW w:w="35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>
                <w:rFonts w:ascii="Tahoma" w:hAnsi="Tahoma" w:cs="Tahoma"/>
                <w:sz w:val="28"/>
                <w:szCs w:val="28"/>
                <w:lang w:eastAsia="ru-RU"/>
              </w:rPr>
            </w:pPr>
            <w:r>
              <w:rPr>
                <w:rFonts w:cs="Tahoma" w:ascii="Tahoma" w:hAnsi="Tahoma"/>
                <w:sz w:val="28"/>
                <w:szCs w:val="28"/>
                <w:lang w:eastAsia="ru-RU"/>
              </w:rPr>
              <w:drawing>
                <wp:anchor behindDoc="1" distT="0" distB="9525" distL="114300" distR="123190" simplePos="0" locked="0" layoutInCell="1" allowOverlap="1" relativeHeight="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57150</wp:posOffset>
                  </wp:positionV>
                  <wp:extent cx="1285875" cy="1781175"/>
                  <wp:effectExtent l="0" t="0" r="0" b="0"/>
                  <wp:wrapTight wrapText="bothSides">
                    <wp:wrapPolygon edited="0">
                      <wp:start x="15993" y="0"/>
                      <wp:lineTo x="3826" y="460"/>
                      <wp:lineTo x="945" y="1153"/>
                      <wp:lineTo x="1264" y="18468"/>
                      <wp:lineTo x="-17" y="19160"/>
                      <wp:lineTo x="-17" y="20314"/>
                      <wp:lineTo x="1585" y="21469"/>
                      <wp:lineTo x="4787" y="21469"/>
                      <wp:lineTo x="21438" y="19853"/>
                      <wp:lineTo x="21438" y="0"/>
                      <wp:lineTo x="20477" y="0"/>
                      <wp:lineTo x="15993" y="0"/>
                    </wp:wrapPolygon>
                  </wp:wrapTight>
                  <wp:docPr id="4" name="Рисунок 31" descr="\\check\Сотрудники\Мальцева Вера\Обложки журналов\SSOT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1" descr="\\check\Сотрудники\Мальцева Вера\Обложки журналов\SSOT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6911" t="0" r="0" b="1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ahoma" w:hAnsi="Tahoma" w:cs="Tahoma"/>
                <w:b/>
                <w:b/>
                <w:color w:val="0F243E" w:themeColor="text2" w:themeShade="8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</w:rPr>
              <w:t xml:space="preserve">Справочник специалиста по охране труда» </w:t>
            </w:r>
          </w:p>
          <w:p>
            <w:pPr>
              <w:pStyle w:val="Normal"/>
              <w:spacing w:lineRule="auto" w:line="240"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В центре внимания в  2016 г.: 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318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 xml:space="preserve">Ужесточение требований к проведению работ, связанных с применением легковоспламеняющихся и горючих жидкостей, в помещениях. 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318" w:hanging="284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Внедрение системы оценки квалификации работников на соответствие профессиональным стандартам. Создание координационного органа, национального агентства, советов по профессиональным квалификациям и центров оценки квалификации.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318" w:hanging="284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В ТК РФ будут внесены изменения, которые позволят государственному инспектору труда при выявлении незначительных нарушений трудового законодательства  выносить работодателю предупреждение, вместо применения к нему административных наказаний в виде административного штрафа.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318" w:hanging="318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Внедрение риск-ориентированной модели и завершении построения системы оценки профессиональных рисков работников.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ind w:left="318" w:hanging="360"/>
              <w:contextualSpacing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Совершенствование процедуры расследования несчастных случаев.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ahoma" w:hAnsi="Tahoma" w:cs="Tahoma"/>
                <w:b/>
                <w:b/>
                <w:bCs/>
                <w:iCs/>
                <w:color w:val="244061" w:themeColor="accent1" w:themeShade="80"/>
                <w:sz w:val="18"/>
                <w:szCs w:val="18"/>
              </w:rPr>
            </w:pPr>
            <w:r>
              <w:rPr>
                <w:rFonts w:cs="Tahoma" w:ascii="Tahoma" w:hAnsi="Tahoma"/>
                <w:b/>
                <w:bCs/>
                <w:iCs/>
                <w:color w:val="244061" w:themeColor="accent1" w:themeShade="80"/>
                <w:sz w:val="18"/>
                <w:szCs w:val="18"/>
              </w:rPr>
            </w:r>
          </w:p>
        </w:tc>
        <w:tc>
          <w:tcPr>
            <w:tcW w:w="283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г.-  12 012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 пол. 2016 -  6 864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/>
            </w:r>
          </w:p>
        </w:tc>
      </w:tr>
      <w:tr>
        <w:trPr>
          <w:trHeight w:val="2670" w:hRule="atLeast"/>
        </w:trPr>
        <w:tc>
          <w:tcPr>
            <w:tcW w:w="35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  <w:drawing>
                <wp:anchor behindDoc="1" distT="0" distB="9525" distL="114300" distR="114300" simplePos="0" locked="0" layoutInCell="1" allowOverlap="1" relativeHeight="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85090</wp:posOffset>
                  </wp:positionV>
                  <wp:extent cx="1261745" cy="1685925"/>
                  <wp:effectExtent l="0" t="0" r="0" b="0"/>
                  <wp:wrapSquare wrapText="bothSides"/>
                  <wp:docPr id="5" name="Рисунок 32" descr="\\check\Сотрудники\Мальцева Вера\Обложки журналов\NA-OT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2" descr="\\check\Сотрудники\Мальцева Вера\Обложки журналов\NA-OT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5698" t="0" r="0" b="1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tcBorders/>
            <w:shd w:fill="auto" w:val="clear"/>
            <w:tcMar>
              <w:left w:w="108" w:type="dxa"/>
            </w:tcMar>
          </w:tcPr>
          <w:p>
            <w:pPr>
              <w:pStyle w:val="13"/>
              <w:spacing w:before="0" w:after="0"/>
              <w:ind w:right="0" w:hanging="0"/>
              <w:rPr>
                <w:color w:val="FF0000"/>
                <w:sz w:val="22"/>
                <w:szCs w:val="22"/>
              </w:rPr>
            </w:pPr>
            <w:r>
              <w:rPr>
                <w:rFonts w:cs="Tahoma"/>
                <w:sz w:val="22"/>
                <w:szCs w:val="22"/>
              </w:rPr>
              <w:t>«Нормативные акты по охране труда»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b/>
                <w:b/>
                <w:color w:val="0F243E" w:themeColor="text2" w:themeShade="8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</w:rPr>
              <w:t>В центре внимания в 2016 году: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0"/>
              <w:ind w:left="426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Обзор изменений в действующем законодательстве по охране труда, промышленной безопасности, экологии</w:t>
            </w:r>
          </w:p>
          <w:p>
            <w:pPr>
              <w:pStyle w:val="ListParagraph"/>
              <w:numPr>
                <w:ilvl w:val="0"/>
                <w:numId w:val="1"/>
              </w:numPr>
              <w:spacing w:before="0" w:after="0"/>
              <w:ind w:left="426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Обзоры проектов нормативных правовых актов с комментариями</w:t>
            </w:r>
          </w:p>
          <w:p>
            <w:pPr>
              <w:pStyle w:val="Normal"/>
              <w:spacing w:before="0" w:after="0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Новые типовые нормы СИЗ по отраслям</w:t>
            </w:r>
          </w:p>
          <w:p>
            <w:pPr>
              <w:pStyle w:val="3"/>
              <w:spacing w:before="0" w:after="200"/>
              <w:contextualSpacing/>
              <w:jc w:val="both"/>
              <w:rPr>
                <w:rFonts w:ascii="Tahoma" w:hAnsi="Tahoma" w:cs="Tahoma"/>
                <w:b w:val="false"/>
                <w:b w:val="false"/>
                <w:color w:val="00000A"/>
                <w:sz w:val="22"/>
                <w:szCs w:val="22"/>
              </w:rPr>
            </w:pPr>
            <w:r>
              <w:rPr>
                <w:rFonts w:cs="Tahoma" w:ascii="Tahoma" w:hAnsi="Tahoma"/>
                <w:b w:val="false"/>
                <w:color w:val="00000A"/>
                <w:sz w:val="22"/>
                <w:szCs w:val="22"/>
              </w:rPr>
            </w:r>
          </w:p>
        </w:tc>
        <w:tc>
          <w:tcPr>
            <w:tcW w:w="283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 – 6 600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 пол. 2016 – 3 828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/>
            </w:r>
          </w:p>
        </w:tc>
      </w:tr>
      <w:tr>
        <w:trPr>
          <w:trHeight w:val="2407" w:hRule="atLeast"/>
        </w:trPr>
        <w:tc>
          <w:tcPr>
            <w:tcW w:w="35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  <w:drawing>
                <wp:anchor behindDoc="1" distT="0" distB="0" distL="114300" distR="114300" simplePos="0" locked="0" layoutInCell="1" allowOverlap="1" relativeHeight="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206375</wp:posOffset>
                  </wp:positionV>
                  <wp:extent cx="1162050" cy="1723390"/>
                  <wp:effectExtent l="0" t="0" r="0" b="0"/>
                  <wp:wrapSquare wrapText="bothSides"/>
                  <wp:docPr id="6" name="Рисунок 33" descr="\\check\Сотрудники\Мальцева Вера\Обложки журналов\VOOT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3" descr="\\check\Сотрудники\Мальцева Вера\Обложки журналов\VOOT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248" t="0" r="0" b="1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200"/>
              <w:contextualSpacing/>
              <w:rPr>
                <w:rFonts w:ascii="Tahoma" w:hAnsi="Tahoma" w:cs="Tahoma"/>
                <w:b/>
                <w:b/>
                <w:bCs/>
                <w:color w:val="0F243E" w:themeColor="text2" w:themeShade="80"/>
                <w:sz w:val="18"/>
                <w:szCs w:val="18"/>
              </w:rPr>
            </w:pPr>
            <w:r>
              <w:rPr>
                <w:rFonts w:cs="Tahoma" w:ascii="Tahoma" w:hAnsi="Tahoma"/>
                <w:b/>
                <w:bCs/>
                <w:color w:val="0F243E" w:themeColor="text2" w:themeShade="80"/>
                <w:sz w:val="18"/>
                <w:szCs w:val="18"/>
              </w:rPr>
            </w:r>
          </w:p>
          <w:p>
            <w:pPr>
              <w:pStyle w:val="13"/>
              <w:spacing w:before="0" w:after="0"/>
              <w:ind w:right="0" w:hanging="0"/>
              <w:rPr>
                <w:color w:val="FF0000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>«Охрана труда в вопросах и ответах»</w:t>
            </w:r>
          </w:p>
          <w:p>
            <w:pPr>
              <w:pStyle w:val="Normal"/>
              <w:spacing w:before="0" w:after="200"/>
              <w:contextualSpacing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cs="Tahoma" w:ascii="Tahoma" w:hAnsi="Tahoma"/>
                <w:sz w:val="18"/>
                <w:szCs w:val="18"/>
              </w:rPr>
              <w:t xml:space="preserve"> </w:t>
            </w:r>
            <w:r>
              <w:rPr>
                <w:rFonts w:cs="Tahoma" w:ascii="Tahoma" w:hAnsi="Tahoma"/>
                <w:sz w:val="18"/>
                <w:szCs w:val="18"/>
              </w:rPr>
              <w:t>(выходит ежемесячно)</w:t>
            </w:r>
          </w:p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8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8"/>
              </w:rPr>
              <w:t xml:space="preserve">В центре внимания в  2016 г.: 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0"/>
              <w:ind w:left="318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Восстановление утраченного нормативного регулирования процедуры ввода лифтов в эксплуатацию и их учета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0"/>
              <w:ind w:left="318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Субсидирование процентной ставки по кредиту работодателю, потратившему заемные средства на улучшение условий труда на своих рабочих местах, на модернизацию оборудования, позволившую улучшить условия труда на предприятии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0"/>
              <w:ind w:left="318" w:hanging="360"/>
              <w:contextualSpacing/>
              <w:jc w:val="both"/>
              <w:rPr>
                <w:rFonts w:ascii="Tahoma" w:hAnsi="Tahoma" w:eastAsia="Times New Roman" w:cs="Tahoma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Реформирование социального страхования: пересмотр положений Федерального закона № 125-ФЗ. Изменение существующего подхода – от компенсации уже нанесенного работнику в результате трудовой деятельности вреда к предупреждению производственного травматизма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0"/>
              <w:ind w:left="318" w:hanging="360"/>
              <w:contextualSpacing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eastAsia="Times New Roman" w:cs="Tahoma" w:ascii="Tahoma" w:hAnsi="Tahoma"/>
                <w:bCs/>
                <w:color w:val="000000"/>
                <w:sz w:val="20"/>
                <w:szCs w:val="20"/>
                <w:lang w:eastAsia="ru-RU"/>
              </w:rPr>
              <w:t>Изменение стажа для выплаты пособия по временной нетрудоспособности</w:t>
            </w:r>
          </w:p>
          <w:p>
            <w:pPr>
              <w:pStyle w:val="Style25"/>
              <w:spacing w:before="0" w:after="0"/>
              <w:ind w:left="1428" w:hanging="0"/>
              <w:contextualSpacing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cs="Tahoma" w:ascii="Tahoma" w:hAnsi="Tahoma"/>
                <w:sz w:val="18"/>
                <w:szCs w:val="18"/>
              </w:rPr>
            </w:r>
          </w:p>
        </w:tc>
        <w:tc>
          <w:tcPr>
            <w:tcW w:w="283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 – 5 016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 пол. 2016 – 2 970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/>
            </w:r>
          </w:p>
        </w:tc>
      </w:tr>
      <w:tr>
        <w:trPr>
          <w:trHeight w:val="2947" w:hRule="atLeast"/>
        </w:trPr>
        <w:tc>
          <w:tcPr>
            <w:tcW w:w="35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  <w:drawing>
                <wp:anchor behindDoc="1" distT="0" distB="0" distL="114300" distR="123190" simplePos="0" locked="0" layoutInCell="1" allowOverlap="1" relativeHeight="5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0</wp:posOffset>
                  </wp:positionV>
                  <wp:extent cx="1971675" cy="1771650"/>
                  <wp:effectExtent l="0" t="0" r="0" b="0"/>
                  <wp:wrapSquare wrapText="bothSides"/>
                  <wp:docPr id="7" name="Изображение1" descr="\\check\Сотрудники\Мальцева Вера\Обложки журналов\Комплекты\Komplect_SSOT+NAOT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 descr="\\check\Сотрудники\Мальцева Вера\Обложки журналов\Комплекты\Komplect_SSOT+NAOT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«Справочник специалиста по охране труда» 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>Комплексная информация об управлении охраной труда на предприятии: новое в законодательстве, расследование и учет несчастных случаев, специальная оценка условий труда, практические рекомендации по созданию и оптимизации системы управления охраной труда, локальные документы, пожарная безопасность, разъяснения спорных вопросов законодательства.</w:t>
            </w:r>
            <w:r>
              <w:rPr>
                <w:rFonts w:cs="Tahoma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«Нормативные акты по охране труда» 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>Обзор законодательных и нормативных правовых актов, межотраслевые и отраслевые правила, типовые и отраслевые инструкции по охране труда. Комментарии специалистов к правилам.</w:t>
            </w:r>
          </w:p>
          <w:p>
            <w:pPr>
              <w:pStyle w:val="Style25"/>
              <w:spacing w:before="0" w:after="0"/>
              <w:ind w:left="0" w:hanging="0"/>
              <w:contextualSpacing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cs="Tahoma" w:ascii="Tahoma" w:hAnsi="Tahoma"/>
                <w:sz w:val="18"/>
                <w:szCs w:val="18"/>
              </w:rPr>
            </w:r>
          </w:p>
        </w:tc>
        <w:tc>
          <w:tcPr>
            <w:tcW w:w="283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 –17 952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 пол. 2016 – 10 362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358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  <w:drawing>
                <wp:anchor behindDoc="1" distT="0" distB="9525" distL="114300" distR="114300" simplePos="0" locked="0" layoutInCell="1" allowOverlap="1" relativeHeight="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64770</wp:posOffset>
                  </wp:positionV>
                  <wp:extent cx="2139315" cy="1609725"/>
                  <wp:effectExtent l="0" t="0" r="0" b="0"/>
                  <wp:wrapSquare wrapText="bothSides"/>
                  <wp:docPr id="8" name="Изображение2" descr="\\check\Сотрудники\Мальцева Вера\Обложки журналов\Комплекты\Komplect_SSOT+OTVi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2" descr="\\check\Сотрудники\Мальцева Вера\Обложки журналов\Комплекты\Komplect_SSOT+OTVi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«Справочник специалиста по охране труда»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>Комплексная информация об управлении охраной труда на предприятии: новое в законодательстве, расследование и учет несчастных случаев, специальная оценка условий труда, практические рекомендации по созданию и оптимизации системы управления охраной труда, локальные документы, пожарная безопасность, разъяснения спорных вопросов законодательства.</w:t>
            </w:r>
            <w:r>
              <w:rPr>
                <w:rFonts w:cs="Tahoma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«Охрана труда в вопросах и ответах»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 xml:space="preserve">Удобный формат подачи материалов: разъяснения на примере конкретных случаев из практики, </w:t>
            </w:r>
            <w:r>
              <w:rPr>
                <w:rFonts w:cs="Tahoma" w:ascii="Tahoma" w:hAnsi="Tahoma"/>
                <w:sz w:val="20"/>
                <w:szCs w:val="20"/>
              </w:rPr>
              <w:t>рассмотрение наиболее сложных вопросов охраны труда</w:t>
            </w:r>
            <w:r>
              <w:rPr>
                <w:rFonts w:cs="Tahoma" w:ascii="Tahoma" w:hAnsi="Tahoma"/>
                <w:color w:val="000000"/>
                <w:sz w:val="20"/>
                <w:szCs w:val="20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 xml:space="preserve">В каждом номере: тема месяца, юридический практикум, инструкции </w:t>
            </w:r>
            <w:r>
              <w:rPr>
                <w:rFonts w:cs="Tahoma" w:ascii="Tahoma" w:hAnsi="Tahoma"/>
                <w:sz w:val="20"/>
                <w:szCs w:val="20"/>
              </w:rPr>
              <w:t>по охране труда</w:t>
            </w:r>
            <w:r>
              <w:rPr>
                <w:rFonts w:cs="Tahoma" w:ascii="Tahoma" w:hAnsi="Tahoma"/>
                <w:color w:val="000000"/>
                <w:sz w:val="20"/>
                <w:szCs w:val="20"/>
              </w:rPr>
              <w:t>, тесты для самоконтроля, обзор и портфель документов.</w:t>
            </w:r>
          </w:p>
          <w:p>
            <w:pPr>
              <w:pStyle w:val="Normal"/>
              <w:spacing w:lineRule="auto" w:line="240" w:before="0" w:after="200"/>
              <w:contextualSpacing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Segoe UI" w:ascii="Segoe UI" w:hAnsi="Segoe UI"/>
                <w:sz w:val="18"/>
                <w:szCs w:val="18"/>
              </w:rPr>
            </w:r>
          </w:p>
        </w:tc>
        <w:tc>
          <w:tcPr>
            <w:tcW w:w="283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contextualSpacing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 – 16632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 пол. 2016 г. – 9 570 руб.</w:t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contextualSpacing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contextualSpacing/>
        <w:rPr/>
      </w:pPr>
      <w:r>
        <w:rPr/>
      </w:r>
    </w:p>
    <w:tbl>
      <w:tblPr>
        <w:tblpPr w:bottomFromText="0" w:horzAnchor="text" w:leftFromText="180" w:rightFromText="180" w:tblpX="34" w:tblpY="0" w:topFromText="0" w:vertAnchor="text"/>
        <w:tblW w:w="10772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211"/>
        <w:gridCol w:w="4816"/>
        <w:gridCol w:w="2745"/>
      </w:tblGrid>
      <w:tr>
        <w:trPr>
          <w:trHeight w:val="3480" w:hRule="atLeast"/>
        </w:trPr>
        <w:tc>
          <w:tcPr>
            <w:tcW w:w="32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/>
              <w:drawing>
                <wp:anchor behindDoc="1" distT="0" distB="0" distL="114300" distR="123190" simplePos="0" locked="0" layoutInCell="1" allowOverlap="1" relativeHeight="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200025</wp:posOffset>
                  </wp:positionV>
                  <wp:extent cx="1933575" cy="2291715"/>
                  <wp:effectExtent l="0" t="0" r="0" b="0"/>
                  <wp:wrapSquare wrapText="bothSides"/>
                  <wp:docPr id="9" name="Изображение3" descr="\\check\Сотрудники\Мальцева Вера\Обложки журналов\Комплекты\Komplect_SSOT+NAOT+OTViO_smal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" descr="\\check\Сотрудники\Мальцева Вера\Обложки журналов\Комплекты\Komplect_SSOT+NAOT+OTViO_small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18"/>
                <w:szCs w:val="18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18"/>
                <w:szCs w:val="18"/>
              </w:rPr>
              <w:t xml:space="preserve">«Справочник специалиста по охране труда» 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>Комплексная информация об управлении охраной труда на предприятии: новое в законодательстве, расследование и учет несчастных случаев, специальная оценка условий труда, практические рекомендации по созданию и оптимизации системы управления охраной труда, локальные документы, пожарная безопасность, разъяснения спорных вопросов законодательства.</w:t>
            </w:r>
            <w:r>
              <w:rPr>
                <w:rFonts w:cs="Tahoma"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«Нормативные акты по охране труда» 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>Обзор законодательных и нормативных правовых актов, межотраслевые и отраслевые правила, типовые и отраслевые инструкции по охране труда. Комментарии специалистов к правилам.</w:t>
            </w:r>
          </w:p>
          <w:p>
            <w:pPr>
              <w:pStyle w:val="Normal"/>
              <w:spacing w:before="0" w:after="0"/>
              <w:rPr>
                <w:rFonts w:ascii="Tahoma" w:hAnsi="Tahoma" w:cs="Tahoma"/>
                <w:b/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cs="Tahoma" w:ascii="Tahoma" w:hAnsi="Tahoma"/>
                <w:b/>
                <w:color w:val="0F243E" w:themeColor="text2" w:themeShade="80"/>
                <w:sz w:val="20"/>
                <w:szCs w:val="20"/>
              </w:rPr>
              <w:t xml:space="preserve">«Охрана труда в вопросах и ответах» </w:t>
            </w:r>
          </w:p>
          <w:p>
            <w:pPr>
              <w:pStyle w:val="Normal"/>
              <w:spacing w:before="0" w:after="0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 xml:space="preserve">Удобный формат подачи материалов: разъяснения на примере конкретных случаев из практики, </w:t>
            </w:r>
            <w:r>
              <w:rPr>
                <w:rFonts w:cs="Tahoma" w:ascii="Tahoma" w:hAnsi="Tahoma"/>
                <w:sz w:val="20"/>
                <w:szCs w:val="20"/>
              </w:rPr>
              <w:t>рассмотрение наиболее сложных вопросов охраны труда</w:t>
            </w:r>
            <w:r>
              <w:rPr>
                <w:rFonts w:cs="Tahoma" w:ascii="Tahoma" w:hAnsi="Tahoma"/>
                <w:color w:val="000000"/>
                <w:sz w:val="20"/>
                <w:szCs w:val="20"/>
              </w:rPr>
              <w:t>.</w:t>
            </w:r>
          </w:p>
          <w:p>
            <w:pPr>
              <w:pStyle w:val="Normal"/>
              <w:spacing w:lineRule="auto" w:line="240" w:before="0" w:after="0"/>
              <w:rPr>
                <w:rFonts w:ascii="Tahoma" w:hAnsi="Tahoma" w:cs="Tahoma"/>
                <w:color w:val="000000"/>
                <w:szCs w:val="24"/>
              </w:rPr>
            </w:pPr>
            <w:r>
              <w:rPr>
                <w:rFonts w:cs="Tahoma" w:ascii="Tahoma" w:hAnsi="Tahoma"/>
                <w:color w:val="000000"/>
                <w:sz w:val="20"/>
                <w:szCs w:val="20"/>
              </w:rPr>
              <w:t xml:space="preserve">В каждом номере: тема месяца, юридический практикум, инструкции </w:t>
            </w:r>
            <w:r>
              <w:rPr>
                <w:rFonts w:cs="Tahoma" w:ascii="Tahoma" w:hAnsi="Tahoma"/>
                <w:sz w:val="20"/>
                <w:szCs w:val="20"/>
              </w:rPr>
              <w:t>по охране труда</w:t>
            </w:r>
            <w:r>
              <w:rPr>
                <w:rFonts w:cs="Tahoma" w:ascii="Tahoma" w:hAnsi="Tahoma"/>
                <w:color w:val="000000"/>
                <w:sz w:val="20"/>
                <w:szCs w:val="20"/>
              </w:rPr>
              <w:t>, тесты для самоконтроля, обзор и портфель документов.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/>
            </w:r>
          </w:p>
        </w:tc>
        <w:tc>
          <w:tcPr>
            <w:tcW w:w="2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  <w:t>2016 г. – 21 615 руб.</w:t>
            </w:r>
          </w:p>
          <w:p>
            <w:pPr>
              <w:pStyle w:val="Normal"/>
              <w:spacing w:before="0" w:after="200"/>
              <w:contextualSpacing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before="0" w:after="200"/>
              <w:contextualSpacing/>
              <w:rPr>
                <w:b/>
                <w:b/>
              </w:rPr>
            </w:pPr>
            <w:r>
              <w:rPr>
                <w:b/>
              </w:rPr>
              <w:t xml:space="preserve">2 пол. 2016 г. –12 408 руб.  </w:t>
            </w:r>
          </w:p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spacing w:before="0" w:after="0"/>
        <w:contextualSpacing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spacing w:val="5"/>
        </w:rPr>
      </w:pPr>
      <w:r>
        <w:rPr>
          <w:rFonts w:ascii="Cambria" w:hAnsi="Cambria"/>
          <w:b/>
          <w:bCs/>
          <w:i/>
          <w:iCs/>
          <w:spacing w:val="5"/>
        </w:rPr>
        <w:t>С уважением,</w:t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color w:val="00B050"/>
          <w:spacing w:val="5"/>
        </w:rPr>
      </w:pPr>
      <w:r>
        <w:rPr>
          <w:rFonts w:ascii="Cambria" w:hAnsi="Cambria"/>
          <w:b/>
          <w:bCs/>
          <w:i/>
          <w:iCs/>
          <w:color w:val="00B050"/>
          <w:spacing w:val="5"/>
        </w:rPr>
        <w:t>Ольга Ахрамович,</w:t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color w:val="1F497D"/>
          <w:spacing w:val="5"/>
        </w:rPr>
      </w:pPr>
      <w:r>
        <w:rPr>
          <w:rFonts w:ascii="Cambria" w:hAnsi="Cambria"/>
          <w:b/>
          <w:bCs/>
          <w:i/>
          <w:iCs/>
          <w:color w:val="1F497D"/>
          <w:spacing w:val="5"/>
        </w:rPr>
        <w:t>Менеджер по продажам</w:t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color w:val="000000"/>
          <w:spacing w:val="5"/>
        </w:rPr>
      </w:pPr>
      <w:r>
        <w:rPr>
          <w:rFonts w:ascii="Cambria" w:hAnsi="Cambria"/>
          <w:b/>
          <w:bCs/>
          <w:i/>
          <w:iCs/>
          <w:spacing w:val="5"/>
        </w:rPr>
        <w:t>«Международный Центр</w:t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spacing w:val="5"/>
        </w:rPr>
      </w:pPr>
      <w:r>
        <w:rPr>
          <w:rFonts w:ascii="Cambria" w:hAnsi="Cambria"/>
          <w:b/>
          <w:bCs/>
          <w:i/>
          <w:iCs/>
          <w:spacing w:val="5"/>
        </w:rPr>
        <w:t>Финансово-экономического развития» г. Москва</w:t>
      </w:r>
    </w:p>
    <w:p>
      <w:pPr>
        <w:pStyle w:val="Normal"/>
        <w:spacing w:before="0" w:after="300"/>
        <w:contextualSpacing/>
        <w:rPr>
          <w:rFonts w:ascii="Cambria" w:hAnsi="Cambria"/>
          <w:i/>
          <w:i/>
          <w:iCs/>
          <w:spacing w:val="5"/>
        </w:rPr>
      </w:pPr>
      <w:r>
        <w:rPr>
          <w:rFonts w:ascii="Cambria" w:hAnsi="Cambria"/>
          <w:b/>
          <w:bCs/>
          <w:i/>
          <w:iCs/>
          <w:spacing w:val="5"/>
        </w:rPr>
        <w:t>Тел</w:t>
      </w:r>
      <w:r>
        <w:rPr>
          <w:rFonts w:ascii="Cambria" w:hAnsi="Cambria"/>
          <w:b/>
          <w:bCs/>
          <w:i/>
          <w:iCs/>
          <w:color w:val="00B050"/>
          <w:spacing w:val="5"/>
        </w:rPr>
        <w:t>. 8 (495) 937-90-80</w:t>
      </w:r>
      <w:r>
        <w:rPr>
          <w:rFonts w:ascii="Cambria" w:hAnsi="Cambria"/>
          <w:b/>
          <w:bCs/>
          <w:i/>
          <w:iCs/>
          <w:spacing w:val="5"/>
        </w:rPr>
        <w:t xml:space="preserve"> доб.6510; моб. </w:t>
      </w:r>
      <w:r>
        <w:rPr>
          <w:rFonts w:ascii="Cambria" w:hAnsi="Cambria"/>
          <w:b/>
          <w:bCs/>
          <w:i/>
          <w:iCs/>
          <w:color w:val="00B050"/>
          <w:spacing w:val="5"/>
        </w:rPr>
        <w:t>8(902)0413314</w:t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spacing w:val="5"/>
          <w:u w:val="single"/>
        </w:rPr>
      </w:pPr>
      <w:r>
        <w:rPr>
          <w:rFonts w:ascii="Cambria" w:hAnsi="Cambria"/>
          <w:b/>
          <w:bCs/>
          <w:i/>
          <w:iCs/>
          <w:spacing w:val="5"/>
        </w:rPr>
        <w:t>Факс</w:t>
      </w:r>
      <w:r>
        <w:rPr>
          <w:rFonts w:ascii="Cambria" w:hAnsi="Cambria"/>
          <w:b/>
          <w:bCs/>
          <w:i/>
          <w:iCs/>
          <w:color w:val="00B050"/>
          <w:spacing w:val="5"/>
        </w:rPr>
        <w:t>: 8(495)937-90-80 (4198)</w:t>
      </w:r>
      <w:r>
        <w:rPr>
          <w:rFonts w:ascii="Cambria" w:hAnsi="Cambria"/>
          <w:b/>
          <w:bCs/>
          <w:i/>
          <w:iCs/>
          <w:spacing w:val="5"/>
          <w:lang w:val="en-US"/>
        </w:rPr>
        <w:t> </w:t>
      </w:r>
      <w:r>
        <w:rPr>
          <w:rFonts w:ascii="Cambria" w:hAnsi="Cambria"/>
          <w:b/>
          <w:bCs/>
          <w:i/>
          <w:iCs/>
          <w:spacing w:val="5"/>
        </w:rPr>
        <w:t xml:space="preserve"> akhramovich_1987@mail.ru</w:t>
      </w:r>
    </w:p>
    <w:p>
      <w:pPr>
        <w:pStyle w:val="Normal"/>
        <w:rPr>
          <w:rFonts w:ascii="Calibri" w:hAnsi="Calibri"/>
          <w:color w:val="1F497D"/>
        </w:rPr>
      </w:pPr>
      <w:r>
        <w:rPr/>
        <w:drawing>
          <wp:inline distT="0" distB="0" distL="0" distR="0">
            <wp:extent cx="2495550" cy="381000"/>
            <wp:effectExtent l="0" t="0" r="0" b="0"/>
            <wp:docPr id="10" name="Рисунок 6" descr="cid:image006.png@01D12118.FBD4B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cid:image006.png@01D12118.FBD4BD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1F497D"/>
          <w:sz w:val="15"/>
          <w:szCs w:val="15"/>
        </w:rPr>
        <w:t> </w:t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spacing w:before="0" w:after="300"/>
        <w:contextualSpacing/>
        <w:rPr>
          <w:rFonts w:ascii="Cambria" w:hAnsi="Cambria"/>
          <w:b/>
          <w:b/>
          <w:bCs/>
          <w:i/>
          <w:i/>
          <w:iCs/>
          <w:spacing w:val="5"/>
          <w:u w:val="single"/>
        </w:rPr>
      </w:pPr>
      <w:r>
        <w:rPr>
          <w:rFonts w:ascii="Cambria" w:hAnsi="Cambria"/>
          <w:b/>
          <w:bCs/>
          <w:i/>
          <w:iCs/>
          <w:spacing w:val="5"/>
          <w:u w:val="single"/>
        </w:rPr>
      </w:r>
    </w:p>
    <w:p>
      <w:pPr>
        <w:pStyle w:val="Normal"/>
        <w:rPr>
          <w:rFonts w:ascii="Calibri" w:hAnsi="Calibri"/>
          <w:color w:val="1F497D"/>
        </w:rPr>
      </w:pPr>
      <w:r>
        <w:rPr>
          <w:rFonts w:cs="Arial" w:ascii="Arial" w:hAnsi="Arial"/>
          <w:color w:val="1F497D"/>
          <w:sz w:val="15"/>
          <w:szCs w:val="15"/>
        </w:rPr>
        <w:t> </w:t>
      </w:r>
    </w:p>
    <w:p>
      <w:pPr>
        <w:pStyle w:val="Normal"/>
        <w:spacing w:before="0" w:after="0"/>
        <w:contextualSpacing/>
        <w:rPr/>
      </w:pPr>
      <w:r>
        <w:rPr/>
      </w:r>
    </w:p>
    <w:sectPr>
      <w:type w:val="nextPage"/>
      <w:pgSz w:w="11906" w:h="16838"/>
      <w:pgMar w:left="567" w:right="567" w:header="0" w:top="340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§"/>
      <w:lvlJc w:val="left"/>
      <w:pPr>
        <w:ind w:left="720" w:hanging="360"/>
      </w:pPr>
      <w:rPr>
        <w:rFonts w:ascii="Wingdings" w:hAnsi="Wingdings" w:cs="Wingdings" w:hint="default"/>
        <w:sz w:val="20"/>
        <w:b/>
        <w:color w:val="0020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1">
    <w:name w:val="Заголовок 1"/>
    <w:basedOn w:val="Normal"/>
    <w:link w:val="10"/>
    <w:uiPriority w:val="9"/>
    <w:qFormat/>
    <w:rsid w:val="00ac08d0"/>
    <w:pPr>
      <w:keepNext/>
      <w:spacing w:before="240" w:after="6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4"/>
    <w:uiPriority w:val="99"/>
    <w:qFormat/>
    <w:rsid w:val="00e0121c"/>
    <w:rPr/>
  </w:style>
  <w:style w:type="character" w:styleId="Style14" w:customStyle="1">
    <w:name w:val="Нижний колонтитул Знак"/>
    <w:basedOn w:val="DefaultParagraphFont"/>
    <w:link w:val="a6"/>
    <w:uiPriority w:val="99"/>
    <w:qFormat/>
    <w:rsid w:val="00e0121c"/>
    <w:rPr/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e0121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d27d6"/>
    <w:rPr>
      <w:b/>
      <w:bCs/>
    </w:rPr>
  </w:style>
  <w:style w:type="character" w:styleId="Style16" w:customStyle="1">
    <w:name w:val="Программа Знак"/>
    <w:basedOn w:val="DefaultParagraphFont"/>
    <w:link w:val="ab"/>
    <w:qFormat/>
    <w:rsid w:val="009d27d6"/>
    <w:rPr>
      <w:rFonts w:ascii="Arial" w:hAnsi="Arial" w:eastAsia="" w:cs="Arial" w:eastAsiaTheme="minorEastAsia"/>
      <w:color w:val="000000"/>
      <w:lang w:eastAsia="ru-RU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ac08d0"/>
    <w:rPr>
      <w:rFonts w:ascii="Cambria" w:hAnsi="Cambria" w:eastAsia="Times New Roman" w:cs="Times New Roman"/>
      <w:b/>
      <w:bCs/>
      <w:sz w:val="32"/>
      <w:szCs w:val="32"/>
    </w:rPr>
  </w:style>
  <w:style w:type="character" w:styleId="12" w:customStyle="1">
    <w:name w:val="1 Заголовок Знак"/>
    <w:basedOn w:val="DefaultParagraphFont"/>
    <w:link w:val="11"/>
    <w:qFormat/>
    <w:rsid w:val="00247276"/>
    <w:rPr>
      <w:rFonts w:ascii="Tahoma" w:hAnsi="Tahoma" w:eastAsia="Calibri" w:cs="Minion Pro"/>
      <w:b/>
      <w:bCs/>
      <w:color w:val="17365D"/>
      <w:sz w:val="36"/>
      <w:szCs w:val="32"/>
    </w:rPr>
  </w:style>
  <w:style w:type="character" w:styleId="Style17">
    <w:name w:val="Интернет-ссылка"/>
    <w:uiPriority w:val="99"/>
    <w:unhideWhenUsed/>
    <w:rsid w:val="0012658e"/>
    <w:rPr>
      <w:color w:val="0000FF"/>
      <w:u w:val="single"/>
    </w:rPr>
  </w:style>
  <w:style w:type="character" w:styleId="ListLabel1">
    <w:name w:val="ListLabel 1"/>
    <w:qFormat/>
    <w:rPr>
      <w:rFonts w:eastAsia="Times New Roman" w:cs="Tahom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b/>
    </w:rPr>
  </w:style>
  <w:style w:type="character" w:styleId="ListLabel4">
    <w:name w:val="ListLabel 4"/>
    <w:qFormat/>
    <w:rPr>
      <w:color w:val="002060"/>
      <w:sz w:val="22"/>
      <w:szCs w:val="22"/>
    </w:rPr>
  </w:style>
  <w:style w:type="character" w:styleId="ListLabel5">
    <w:name w:val="ListLabel 5"/>
    <w:qFormat/>
    <w:rPr>
      <w:rFonts w:ascii="Tahoma" w:hAnsi="Tahoma"/>
      <w:b/>
      <w:color w:val="002060"/>
      <w:sz w:val="20"/>
    </w:rPr>
  </w:style>
  <w:style w:type="character" w:styleId="ListLabel6">
    <w:name w:val="ListLabel 6"/>
    <w:qFormat/>
    <w:rPr>
      <w:color w:val="002060"/>
      <w:sz w:val="20"/>
      <w:szCs w:val="20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Style19">
    <w:name w:val="Основной текст"/>
    <w:basedOn w:val="Normal"/>
    <w:pPr>
      <w:spacing w:lineRule="auto" w:line="288" w:before="0" w:after="140"/>
    </w:pPr>
    <w:rPr/>
  </w:style>
  <w:style w:type="paragraph" w:styleId="Style20">
    <w:name w:val="Список"/>
    <w:basedOn w:val="Style19"/>
    <w:pPr/>
    <w:rPr>
      <w:rFonts w:cs="Mangal"/>
    </w:rPr>
  </w:style>
  <w:style w:type="paragraph" w:styleId="Style21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>
    <w:name w:val="Верхний колонтитул"/>
    <w:basedOn w:val="Normal"/>
    <w:link w:val="a5"/>
    <w:uiPriority w:val="99"/>
    <w:unhideWhenUsed/>
    <w:rsid w:val="00e0121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Нижний колонтитул"/>
    <w:basedOn w:val="Normal"/>
    <w:link w:val="a7"/>
    <w:uiPriority w:val="99"/>
    <w:unhideWhenUsed/>
    <w:rsid w:val="00e0121c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e0121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5" w:customStyle="1">
    <w:name w:val="Программа"/>
    <w:link w:val="ac"/>
    <w:qFormat/>
    <w:rsid w:val="009d27d6"/>
    <w:pPr>
      <w:widowControl/>
      <w:bidi w:val="0"/>
      <w:spacing w:lineRule="auto" w:line="240" w:before="120" w:after="120"/>
      <w:ind w:left="708" w:hanging="0"/>
      <w:jc w:val="left"/>
    </w:pPr>
    <w:rPr>
      <w:rFonts w:ascii="Arial" w:hAnsi="Arial" w:eastAsia="" w:cs="Arial" w:eastAsiaTheme="minorEastAsia"/>
      <w:color w:val="000000"/>
      <w:sz w:val="22"/>
      <w:szCs w:val="22"/>
      <w:lang w:eastAsia="ru-RU" w:val="ru-RU" w:bidi="ar-SA"/>
    </w:rPr>
  </w:style>
  <w:style w:type="paragraph" w:styleId="3" w:customStyle="1">
    <w:name w:val="3 Заголовок"/>
    <w:qFormat/>
    <w:rsid w:val="009d27d6"/>
    <w:pPr>
      <w:widowControl/>
      <w:bidi w:val="0"/>
      <w:spacing w:lineRule="auto" w:line="276" w:before="0" w:after="200"/>
      <w:jc w:val="left"/>
    </w:pPr>
    <w:rPr>
      <w:rFonts w:ascii="Arial" w:hAnsi="Arial" w:eastAsia="Calibri" w:cs="Arial"/>
      <w:b/>
      <w:color w:val="0F243E" w:themeColor="text2" w:themeShade="80"/>
      <w:sz w:val="24"/>
      <w:szCs w:val="24"/>
      <w:lang w:eastAsia="ru-RU" w:val="ru-RU" w:bidi="ar-SA"/>
    </w:rPr>
  </w:style>
  <w:style w:type="paragraph" w:styleId="NoSpacing">
    <w:name w:val="No Spacing"/>
    <w:uiPriority w:val="1"/>
    <w:qFormat/>
    <w:rsid w:val="00ac08d0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2"/>
      <w:szCs w:val="22"/>
      <w:lang w:val="ru-RU" w:eastAsia="en-US" w:bidi="ar-SA"/>
    </w:rPr>
  </w:style>
  <w:style w:type="paragraph" w:styleId="13" w:customStyle="1">
    <w:name w:val="1 Заголовок"/>
    <w:link w:val="12"/>
    <w:qFormat/>
    <w:rsid w:val="00247276"/>
    <w:pPr>
      <w:keepLines/>
      <w:widowControl/>
      <w:bidi w:val="0"/>
      <w:spacing w:lineRule="auto" w:line="240" w:before="0" w:after="0"/>
      <w:jc w:val="left"/>
    </w:pPr>
    <w:rPr>
      <w:rFonts w:ascii="Tahoma" w:hAnsi="Tahoma" w:eastAsia="Calibri" w:cs="Minion Pro"/>
      <w:b/>
      <w:bCs/>
      <w:color w:val="17365D"/>
      <w:sz w:val="36"/>
      <w:szCs w:val="3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247276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7b089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012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gif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46EB2-4A82-45D4-903A-582E46B3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LibreOffice/5.0.3.2$Windows_x86 LibreOffice_project/e5f16313668ac592c1bfb310f4390624e3dbfb75</Application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2016-02-01T11:19:00Z</dcterms:created>
  <dc:creator>Svetlana Minaeva</dc:creator>
  <dc:language>ru-RU</dc:language>
  <cp:lastModifiedBy>Olga U. Ahramovich</cp:lastModifiedBy>
  <cp:lastPrinted>2016-02-01T07:45:00Z</cp:lastPrinted>
  <dcterms:modified xsi:type="dcterms:W3CDTF">2016-02-01T11:19:00Z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